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D373D" w14:textId="0311B0A6" w:rsidR="00261551" w:rsidRPr="00261551" w:rsidRDefault="00D31BEE" w:rsidP="00261551">
      <w:pPr>
        <w:jc w:val="center"/>
        <w:rPr>
          <w:rFonts w:eastAsia="Times New Roman"/>
          <w:b/>
        </w:rPr>
      </w:pPr>
      <w:r>
        <w:rPr>
          <w:rFonts w:eastAsia="Times New Roman"/>
          <w:b/>
        </w:rPr>
        <w:t>Les mesures anti-covid violent-elles l</w:t>
      </w:r>
      <w:r w:rsidR="00261551" w:rsidRPr="00261551">
        <w:rPr>
          <w:rFonts w:eastAsia="Times New Roman"/>
          <w:b/>
        </w:rPr>
        <w:t>es droits humains ?</w:t>
      </w:r>
    </w:p>
    <w:p w14:paraId="57ED0BBB" w14:textId="77777777" w:rsidR="00261551" w:rsidRDefault="00261551" w:rsidP="00A93894">
      <w:pPr>
        <w:jc w:val="both"/>
        <w:rPr>
          <w:rFonts w:eastAsia="Times New Roman"/>
        </w:rPr>
      </w:pPr>
    </w:p>
    <w:p w14:paraId="58B28162" w14:textId="205E8051" w:rsidR="00D31BEE" w:rsidRPr="00D31BEE" w:rsidRDefault="00D31BEE" w:rsidP="00D31BEE">
      <w:pPr>
        <w:jc w:val="right"/>
        <w:rPr>
          <w:rFonts w:eastAsia="Times New Roman"/>
          <w:sz w:val="20"/>
          <w:szCs w:val="20"/>
        </w:rPr>
      </w:pPr>
      <w:r w:rsidRPr="00D31BEE">
        <w:rPr>
          <w:rFonts w:eastAsia="Times New Roman"/>
          <w:sz w:val="20"/>
          <w:szCs w:val="20"/>
        </w:rPr>
        <w:t>Eric DAVID,</w:t>
      </w:r>
    </w:p>
    <w:p w14:paraId="36B38768" w14:textId="13EC538E" w:rsidR="00D31BEE" w:rsidRPr="00D31BEE" w:rsidRDefault="00D31BEE" w:rsidP="00D31BEE">
      <w:pPr>
        <w:jc w:val="right"/>
        <w:rPr>
          <w:rFonts w:eastAsia="Times New Roman"/>
          <w:sz w:val="20"/>
          <w:szCs w:val="20"/>
        </w:rPr>
      </w:pPr>
      <w:r w:rsidRPr="00D31BEE">
        <w:rPr>
          <w:rFonts w:eastAsia="Times New Roman"/>
          <w:sz w:val="20"/>
          <w:szCs w:val="20"/>
        </w:rPr>
        <w:t>Prof. ém. de droit international public,</w:t>
      </w:r>
    </w:p>
    <w:p w14:paraId="4786A81E" w14:textId="6FBB3FB8" w:rsidR="00D31BEE" w:rsidRPr="00D31BEE" w:rsidRDefault="00D31BEE" w:rsidP="00D31BEE">
      <w:pPr>
        <w:jc w:val="right"/>
        <w:rPr>
          <w:rFonts w:eastAsia="Times New Roman"/>
          <w:sz w:val="20"/>
          <w:szCs w:val="20"/>
        </w:rPr>
      </w:pPr>
      <w:r w:rsidRPr="00D31BEE">
        <w:rPr>
          <w:rFonts w:eastAsia="Times New Roman"/>
          <w:sz w:val="20"/>
          <w:szCs w:val="20"/>
        </w:rPr>
        <w:t>Président du Centre de droit international,</w:t>
      </w:r>
    </w:p>
    <w:p w14:paraId="4BAABA56" w14:textId="39AE2509" w:rsidR="00D31BEE" w:rsidRDefault="00D31BEE" w:rsidP="00D31BEE">
      <w:pPr>
        <w:jc w:val="right"/>
        <w:rPr>
          <w:rFonts w:eastAsia="Times New Roman"/>
        </w:rPr>
      </w:pPr>
      <w:r w:rsidRPr="00D31BEE">
        <w:rPr>
          <w:rFonts w:eastAsia="Times New Roman"/>
          <w:sz w:val="20"/>
          <w:szCs w:val="20"/>
        </w:rPr>
        <w:t>Université libre de Bruxelles (ULB).</w:t>
      </w:r>
    </w:p>
    <w:p w14:paraId="531A6578" w14:textId="77777777" w:rsidR="00D31BEE" w:rsidRDefault="00D31BEE" w:rsidP="00A93894">
      <w:pPr>
        <w:jc w:val="both"/>
        <w:rPr>
          <w:rFonts w:eastAsia="Times New Roman"/>
        </w:rPr>
      </w:pPr>
    </w:p>
    <w:p w14:paraId="341E9049" w14:textId="5E9A318D" w:rsidR="00AC1BE0" w:rsidRDefault="00A93894" w:rsidP="00A93894">
      <w:pPr>
        <w:jc w:val="both"/>
        <w:rPr>
          <w:rFonts w:eastAsia="Times New Roman"/>
        </w:rPr>
      </w:pPr>
      <w:r>
        <w:rPr>
          <w:rFonts w:eastAsia="Times New Roman"/>
        </w:rPr>
        <w:tab/>
        <w:t xml:space="preserve">Les mesures destinées à enrayer la propagation du corona virus ont provoqué de nombreuses manifestations de </w:t>
      </w:r>
      <w:r w:rsidR="006E57A7">
        <w:rPr>
          <w:rFonts w:eastAsia="Times New Roman"/>
        </w:rPr>
        <w:t>gens</w:t>
      </w:r>
      <w:r>
        <w:rPr>
          <w:rFonts w:eastAsia="Times New Roman"/>
        </w:rPr>
        <w:t xml:space="preserve"> qui estiment que ces mesures – confinement, vaccination obligatoire, production d’un </w:t>
      </w:r>
      <w:r w:rsidRPr="00627992">
        <w:rPr>
          <w:rFonts w:eastAsia="Times New Roman"/>
          <w:i/>
        </w:rPr>
        <w:t>pass</w:t>
      </w:r>
      <w:r>
        <w:rPr>
          <w:rFonts w:eastAsia="Times New Roman"/>
        </w:rPr>
        <w:t xml:space="preserve"> covid (le </w:t>
      </w:r>
      <w:r w:rsidRPr="003075D9">
        <w:rPr>
          <w:rFonts w:eastAsia="Times New Roman"/>
          <w:i/>
          <w:lang w:val="en-GB"/>
        </w:rPr>
        <w:t>covid safe ticket</w:t>
      </w:r>
      <w:r w:rsidRPr="00A93894">
        <w:rPr>
          <w:rFonts w:eastAsia="Times New Roman"/>
          <w:lang w:val="en-GB"/>
        </w:rPr>
        <w:t xml:space="preserve"> – </w:t>
      </w:r>
      <w:r w:rsidRPr="003075D9">
        <w:rPr>
          <w:rFonts w:eastAsia="Times New Roman"/>
          <w:i/>
          <w:lang w:val="en-GB"/>
        </w:rPr>
        <w:t>CST</w:t>
      </w:r>
      <w:r>
        <w:rPr>
          <w:rFonts w:eastAsia="Times New Roman"/>
        </w:rPr>
        <w:t>), limitation des rassemblements, etc – sont liberticides et affectent les droits et libertés fondamentaux. Ainsi, l</w:t>
      </w:r>
      <w:r w:rsidR="008C1723">
        <w:rPr>
          <w:rFonts w:eastAsia="Times New Roman"/>
        </w:rPr>
        <w:t>es organisateurs de l</w:t>
      </w:r>
      <w:r w:rsidR="002F266C">
        <w:rPr>
          <w:rFonts w:eastAsia="Times New Roman"/>
        </w:rPr>
        <w:t>a manifestation européenne qui s’est déroulée à Bruxelles</w:t>
      </w:r>
      <w:r>
        <w:rPr>
          <w:rFonts w:eastAsia="Times New Roman"/>
        </w:rPr>
        <w:t>,</w:t>
      </w:r>
      <w:r w:rsidR="002F266C">
        <w:rPr>
          <w:rFonts w:eastAsia="Times New Roman"/>
        </w:rPr>
        <w:t xml:space="preserve"> le dimanche 23 janvier 2022</w:t>
      </w:r>
      <w:r w:rsidR="008C1723">
        <w:rPr>
          <w:rFonts w:eastAsia="Times New Roman"/>
        </w:rPr>
        <w:t xml:space="preserve"> (</w:t>
      </w:r>
      <w:r w:rsidR="008C1723" w:rsidRPr="008C1723">
        <w:rPr>
          <w:rFonts w:eastAsia="Times New Roman"/>
          <w:i/>
          <w:lang w:val="en-GB"/>
        </w:rPr>
        <w:t>Europeans United for Freedom</w:t>
      </w:r>
      <w:r w:rsidR="009A52F2">
        <w:rPr>
          <w:rFonts w:eastAsia="Times New Roman"/>
          <w:lang w:val="en-GB"/>
        </w:rPr>
        <w:t xml:space="preserve"> </w:t>
      </w:r>
      <w:r w:rsidR="009A52F2" w:rsidRPr="009A52F2">
        <w:rPr>
          <w:rFonts w:eastAsia="Times New Roman"/>
        </w:rPr>
        <w:t>regroupant quelque 600</w:t>
      </w:r>
      <w:r w:rsidR="009A52F2">
        <w:rPr>
          <w:rFonts w:eastAsia="Times New Roman"/>
          <w:lang w:val="en-GB"/>
        </w:rPr>
        <w:t xml:space="preserve"> organisations</w:t>
      </w:r>
      <w:r w:rsidR="008C1723">
        <w:rPr>
          <w:rFonts w:eastAsia="Times New Roman"/>
          <w:lang w:eastAsia="fr-FR"/>
        </w:rPr>
        <w:t>)</w:t>
      </w:r>
      <w:r>
        <w:rPr>
          <w:rFonts w:eastAsia="Times New Roman"/>
          <w:lang w:eastAsia="fr-FR"/>
        </w:rPr>
        <w:t>,</w:t>
      </w:r>
      <w:r>
        <w:rPr>
          <w:rFonts w:eastAsia="Times New Roman"/>
        </w:rPr>
        <w:t xml:space="preserve"> </w:t>
      </w:r>
      <w:r w:rsidR="002F266C">
        <w:rPr>
          <w:rFonts w:eastAsia="Times New Roman"/>
        </w:rPr>
        <w:t>qualifiai</w:t>
      </w:r>
      <w:r w:rsidR="008C1723">
        <w:rPr>
          <w:rFonts w:eastAsia="Times New Roman"/>
        </w:rPr>
        <w:t>en</w:t>
      </w:r>
      <w:r w:rsidR="002F266C">
        <w:rPr>
          <w:rFonts w:eastAsia="Times New Roman"/>
        </w:rPr>
        <w:t xml:space="preserve">t </w:t>
      </w:r>
      <w:r w:rsidR="003A32DC">
        <w:rPr>
          <w:rFonts w:eastAsia="Times New Roman"/>
        </w:rPr>
        <w:t>cett</w:t>
      </w:r>
      <w:r w:rsidR="008C1723">
        <w:rPr>
          <w:rFonts w:eastAsia="Times New Roman"/>
        </w:rPr>
        <w:t>e</w:t>
      </w:r>
      <w:r w:rsidR="002F266C">
        <w:rPr>
          <w:rFonts w:eastAsia="Times New Roman"/>
        </w:rPr>
        <w:t xml:space="preserve"> manifestation </w:t>
      </w:r>
      <w:r w:rsidR="003A32DC">
        <w:rPr>
          <w:rFonts w:eastAsia="Times New Roman"/>
        </w:rPr>
        <w:t xml:space="preserve">de rassemblement </w:t>
      </w:r>
      <w:r w:rsidR="00614EA2">
        <w:rPr>
          <w:rFonts w:eastAsia="Times New Roman"/>
        </w:rPr>
        <w:t>« </w:t>
      </w:r>
      <w:r w:rsidR="002F266C">
        <w:rPr>
          <w:rFonts w:eastAsia="Times New Roman"/>
        </w:rPr>
        <w:t>pour la liberté</w:t>
      </w:r>
      <w:r w:rsidR="00BD362A">
        <w:rPr>
          <w:rFonts w:eastAsia="Times New Roman"/>
        </w:rPr>
        <w:t> »</w:t>
      </w:r>
      <w:r w:rsidR="002F266C">
        <w:rPr>
          <w:rFonts w:eastAsia="Times New Roman"/>
        </w:rPr>
        <w:t xml:space="preserve">, </w:t>
      </w:r>
      <w:r w:rsidR="00BD362A">
        <w:rPr>
          <w:rFonts w:eastAsia="Times New Roman"/>
        </w:rPr>
        <w:t>« </w:t>
      </w:r>
      <w:r w:rsidR="002F266C">
        <w:rPr>
          <w:rFonts w:eastAsia="Times New Roman"/>
        </w:rPr>
        <w:t>la démocratie</w:t>
      </w:r>
      <w:r w:rsidR="00BD362A">
        <w:rPr>
          <w:rFonts w:eastAsia="Times New Roman"/>
        </w:rPr>
        <w:t> »</w:t>
      </w:r>
      <w:r w:rsidR="002F266C">
        <w:rPr>
          <w:rFonts w:eastAsia="Times New Roman"/>
        </w:rPr>
        <w:t xml:space="preserve"> et </w:t>
      </w:r>
      <w:r w:rsidR="00BD362A">
        <w:rPr>
          <w:rFonts w:eastAsia="Times New Roman"/>
        </w:rPr>
        <w:t>« </w:t>
      </w:r>
      <w:r w:rsidR="002F266C">
        <w:rPr>
          <w:rFonts w:eastAsia="Times New Roman"/>
        </w:rPr>
        <w:t>les droits de l’homme</w:t>
      </w:r>
      <w:r w:rsidR="00AC1BE0">
        <w:rPr>
          <w:rFonts w:eastAsia="Times New Roman"/>
        </w:rPr>
        <w:t> »</w:t>
      </w:r>
      <w:r w:rsidR="00BD362A">
        <w:rPr>
          <w:rFonts w:eastAsia="Times New Roman"/>
        </w:rPr>
        <w:t xml:space="preserve"> (</w:t>
      </w:r>
      <w:hyperlink r:id="rId4" w:history="1">
        <w:r w:rsidR="00BD362A" w:rsidRPr="002063F3">
          <w:rPr>
            <w:rStyle w:val="Lienhypertexte"/>
            <w:rFonts w:eastAsia="Times New Roman"/>
          </w:rPr>
          <w:t>https://bruxelles-city-news.be/manifestation-europeenne-pour-la-democratie-23-janvier-2022-bruxelles/</w:t>
        </w:r>
      </w:hyperlink>
      <w:r w:rsidR="00BD362A">
        <w:rPr>
          <w:rFonts w:eastAsia="Times New Roman"/>
        </w:rPr>
        <w:t>)</w:t>
      </w:r>
      <w:r>
        <w:rPr>
          <w:rFonts w:eastAsia="Times New Roman"/>
        </w:rPr>
        <w:t>. Cette manifestation qui</w:t>
      </w:r>
      <w:r w:rsidR="003F1049">
        <w:rPr>
          <w:rFonts w:eastAsia="Times New Roman"/>
        </w:rPr>
        <w:t xml:space="preserve"> a regroupé 50 000 personnes</w:t>
      </w:r>
      <w:r>
        <w:rPr>
          <w:rFonts w:eastAsia="Times New Roman"/>
        </w:rPr>
        <w:t>,</w:t>
      </w:r>
      <w:r w:rsidR="005E1354">
        <w:rPr>
          <w:rFonts w:eastAsia="Times New Roman"/>
        </w:rPr>
        <w:t xml:space="preserve"> selon la police (</w:t>
      </w:r>
      <w:r w:rsidR="007A2F8F">
        <w:rPr>
          <w:rFonts w:eastAsia="Times New Roman"/>
        </w:rPr>
        <w:t>500 000 selon les organisateurs</w:t>
      </w:r>
      <w:r w:rsidR="005E1354">
        <w:rPr>
          <w:rFonts w:eastAsia="Times New Roman"/>
        </w:rPr>
        <w:t xml:space="preserve">, </w:t>
      </w:r>
      <w:hyperlink r:id="rId5" w:history="1">
        <w:r w:rsidR="00BD362A" w:rsidRPr="002063F3">
          <w:rPr>
            <w:rStyle w:val="Lienhypertexte"/>
            <w:rFonts w:eastAsia="Times New Roman"/>
          </w:rPr>
          <w:t>https://www.rtl.be/info/regions/bruxelles/une-nouvelle-manifestation-contre-les-mesures-sanitaires-est-prevue-ce-dimanche-a-bruxelles-1352134.aspx</w:t>
        </w:r>
      </w:hyperlink>
      <w:r w:rsidR="005E1354">
        <w:rPr>
          <w:rFonts w:eastAsia="Times New Roman"/>
        </w:rPr>
        <w:t>)</w:t>
      </w:r>
      <w:r w:rsidR="00837D95">
        <w:rPr>
          <w:rFonts w:eastAsia="Times New Roman"/>
        </w:rPr>
        <w:t xml:space="preserve"> venues de Belgique mais aussi d’autres pays européens</w:t>
      </w:r>
      <w:r w:rsidR="007A2F8F">
        <w:rPr>
          <w:rFonts w:eastAsia="Times New Roman"/>
        </w:rPr>
        <w:t xml:space="preserve"> </w:t>
      </w:r>
      <w:r w:rsidR="00837D95">
        <w:rPr>
          <w:rFonts w:eastAsia="Times New Roman"/>
        </w:rPr>
        <w:t>montre le succès d</w:t>
      </w:r>
      <w:r>
        <w:rPr>
          <w:rFonts w:eastAsia="Times New Roman"/>
        </w:rPr>
        <w:t xml:space="preserve">e ce type de </w:t>
      </w:r>
      <w:r w:rsidR="00626DE0">
        <w:rPr>
          <w:rFonts w:eastAsia="Times New Roman"/>
        </w:rPr>
        <w:t>mot d’ordre</w:t>
      </w:r>
      <w:r w:rsidR="00837D95">
        <w:rPr>
          <w:rFonts w:eastAsia="Times New Roman"/>
        </w:rPr>
        <w:t>.</w:t>
      </w:r>
    </w:p>
    <w:p w14:paraId="67C7C48E" w14:textId="77777777" w:rsidR="00AC1BE0" w:rsidRDefault="00AC1BE0" w:rsidP="00A93894">
      <w:pPr>
        <w:jc w:val="both"/>
        <w:rPr>
          <w:rFonts w:eastAsia="Times New Roman"/>
        </w:rPr>
      </w:pPr>
    </w:p>
    <w:p w14:paraId="62965288" w14:textId="166334FE" w:rsidR="002F266C" w:rsidRDefault="00AC1BE0" w:rsidP="00A93894">
      <w:pPr>
        <w:jc w:val="both"/>
        <w:rPr>
          <w:rFonts w:eastAsia="Times New Roman"/>
        </w:rPr>
      </w:pPr>
      <w:r>
        <w:rPr>
          <w:rFonts w:eastAsia="Times New Roman"/>
        </w:rPr>
        <w:tab/>
      </w:r>
      <w:r w:rsidR="00E81625">
        <w:rPr>
          <w:rFonts w:eastAsia="Times New Roman"/>
        </w:rPr>
        <w:t xml:space="preserve">Qualifier les mesures anti-covid de violation des droits humains est évidemment une baudruche facile à dégonfler : </w:t>
      </w:r>
      <w:r w:rsidR="00BD362A">
        <w:rPr>
          <w:rFonts w:eastAsia="Times New Roman"/>
        </w:rPr>
        <w:t xml:space="preserve">il suffit </w:t>
      </w:r>
      <w:r w:rsidR="008A0F39">
        <w:rPr>
          <w:rFonts w:eastAsia="Times New Roman"/>
        </w:rPr>
        <w:t xml:space="preserve">de </w:t>
      </w:r>
      <w:r w:rsidR="00BD362A">
        <w:rPr>
          <w:rFonts w:eastAsia="Times New Roman"/>
        </w:rPr>
        <w:t xml:space="preserve">lire </w:t>
      </w:r>
      <w:r w:rsidR="008A0F39">
        <w:rPr>
          <w:rFonts w:eastAsia="Times New Roman"/>
        </w:rPr>
        <w:t>la Convention européenne des droits de l’homme</w:t>
      </w:r>
      <w:r w:rsidR="00D0222E">
        <w:rPr>
          <w:rFonts w:eastAsia="Times New Roman"/>
        </w:rPr>
        <w:t xml:space="preserve"> de 1950</w:t>
      </w:r>
      <w:r w:rsidR="008A0F39">
        <w:rPr>
          <w:rFonts w:eastAsia="Times New Roman"/>
        </w:rPr>
        <w:t xml:space="preserve"> protégeant </w:t>
      </w:r>
      <w:r w:rsidR="00B551BE">
        <w:rPr>
          <w:rFonts w:eastAsia="Times New Roman"/>
        </w:rPr>
        <w:t>des</w:t>
      </w:r>
      <w:r w:rsidR="008A0F39">
        <w:rPr>
          <w:rFonts w:eastAsia="Times New Roman"/>
        </w:rPr>
        <w:t xml:space="preserve"> droit</w:t>
      </w:r>
      <w:r w:rsidR="00B551BE">
        <w:rPr>
          <w:rFonts w:eastAsia="Times New Roman"/>
        </w:rPr>
        <w:t>s</w:t>
      </w:r>
      <w:r w:rsidR="008A0F39">
        <w:rPr>
          <w:rFonts w:eastAsia="Times New Roman"/>
        </w:rPr>
        <w:t xml:space="preserve"> </w:t>
      </w:r>
      <w:r w:rsidR="00B551BE">
        <w:rPr>
          <w:rFonts w:eastAsia="Times New Roman"/>
        </w:rPr>
        <w:t>tels que le</w:t>
      </w:r>
      <w:r w:rsidR="008A0F39">
        <w:rPr>
          <w:rFonts w:eastAsia="Times New Roman"/>
        </w:rPr>
        <w:t xml:space="preserve"> respect de la vie privée ainsi que les libertés de conscience, d’expression, de réunion et d’association (art. 8-11)</w:t>
      </w:r>
      <w:r w:rsidR="00BD362A">
        <w:rPr>
          <w:rFonts w:eastAsia="Times New Roman"/>
        </w:rPr>
        <w:t xml:space="preserve"> : </w:t>
      </w:r>
      <w:r w:rsidR="00BD362A">
        <w:rPr>
          <w:rFonts w:eastAsia="Times New Roman"/>
        </w:rPr>
        <w:t>chacune des dispositions</w:t>
      </w:r>
      <w:r w:rsidR="00D0222E">
        <w:rPr>
          <w:rFonts w:eastAsia="Times New Roman"/>
        </w:rPr>
        <w:t xml:space="preserve"> </w:t>
      </w:r>
      <w:r w:rsidR="00EC0108">
        <w:rPr>
          <w:rFonts w:eastAsia="Times New Roman"/>
        </w:rPr>
        <w:t xml:space="preserve">relatives à ces droits et libertés </w:t>
      </w:r>
      <w:r w:rsidR="00D0222E">
        <w:rPr>
          <w:rFonts w:eastAsia="Times New Roman"/>
        </w:rPr>
        <w:t>contien</w:t>
      </w:r>
      <w:r w:rsidR="009E5BE3">
        <w:rPr>
          <w:rFonts w:eastAsia="Times New Roman"/>
        </w:rPr>
        <w:t>t un</w:t>
      </w:r>
      <w:r w:rsidR="008A0F39">
        <w:rPr>
          <w:rFonts w:eastAsia="Times New Roman"/>
        </w:rPr>
        <w:t xml:space="preserve"> paragraphe prévoyant expressément </w:t>
      </w:r>
      <w:r w:rsidR="00E205EE">
        <w:rPr>
          <w:rFonts w:eastAsia="Times New Roman"/>
        </w:rPr>
        <w:t>que la loi peu</w:t>
      </w:r>
      <w:r w:rsidR="008A0F39">
        <w:rPr>
          <w:rFonts w:eastAsia="Times New Roman"/>
        </w:rPr>
        <w:t xml:space="preserve">t </w:t>
      </w:r>
      <w:r w:rsidR="00E205EE">
        <w:rPr>
          <w:rFonts w:eastAsia="Times New Roman"/>
        </w:rPr>
        <w:t>les</w:t>
      </w:r>
      <w:r w:rsidR="008A0F39">
        <w:rPr>
          <w:rFonts w:eastAsia="Times New Roman"/>
        </w:rPr>
        <w:t xml:space="preserve"> </w:t>
      </w:r>
      <w:r w:rsidR="00E205EE">
        <w:rPr>
          <w:rFonts w:eastAsia="Times New Roman"/>
        </w:rPr>
        <w:t>limiter</w:t>
      </w:r>
      <w:r w:rsidR="009E5BE3">
        <w:rPr>
          <w:rFonts w:eastAsia="Times New Roman"/>
        </w:rPr>
        <w:t xml:space="preserve"> </w:t>
      </w:r>
      <w:r w:rsidR="00E205EE">
        <w:rPr>
          <w:rFonts w:eastAsia="Times New Roman"/>
        </w:rPr>
        <w:t>par des</w:t>
      </w:r>
      <w:r w:rsidR="005F24B5">
        <w:rPr>
          <w:rFonts w:eastAsia="Times New Roman"/>
        </w:rPr>
        <w:t xml:space="preserve"> mesures qui, « dans une société démocratique » sont nécessaires pour assurer, </w:t>
      </w:r>
      <w:r w:rsidR="00E46433">
        <w:rPr>
          <w:rFonts w:eastAsia="Times New Roman"/>
        </w:rPr>
        <w:t>entre autres</w:t>
      </w:r>
      <w:r w:rsidR="005F24B5">
        <w:rPr>
          <w:rFonts w:eastAsia="Times New Roman"/>
        </w:rPr>
        <w:t>, « la protection de la santé ». Par exemple, l’art. 8 prévoyant le droit au respect de la vie privée et familiale dispose :</w:t>
      </w:r>
    </w:p>
    <w:p w14:paraId="3BE90B3D" w14:textId="77777777" w:rsidR="002F266C" w:rsidRDefault="002F266C" w:rsidP="00552C87">
      <w:pPr>
        <w:jc w:val="both"/>
        <w:rPr>
          <w:rFonts w:eastAsia="Times New Roman"/>
        </w:rPr>
      </w:pPr>
    </w:p>
    <w:p w14:paraId="49A4B8F6" w14:textId="520F0A53" w:rsidR="002050C2" w:rsidRPr="002050C2" w:rsidRDefault="002050C2" w:rsidP="002050C2">
      <w:pPr>
        <w:ind w:left="567"/>
        <w:jc w:val="both"/>
        <w:rPr>
          <w:spacing w:val="-2"/>
          <w:sz w:val="20"/>
          <w:szCs w:val="20"/>
        </w:rPr>
      </w:pPr>
      <w:r w:rsidRPr="002050C2">
        <w:rPr>
          <w:spacing w:val="-2"/>
          <w:sz w:val="20"/>
          <w:szCs w:val="20"/>
        </w:rPr>
        <w:t>1. Toute personne a droit au respect de sa vie privée et familiale, de son domicile et de sa correspondance.</w:t>
      </w:r>
    </w:p>
    <w:p w14:paraId="0BCE091D" w14:textId="5F89E5B4" w:rsidR="002050C2" w:rsidRDefault="002050C2" w:rsidP="002050C2">
      <w:pPr>
        <w:ind w:left="567"/>
        <w:jc w:val="both"/>
        <w:rPr>
          <w:rFonts w:eastAsia="Times New Roman"/>
        </w:rPr>
      </w:pPr>
      <w:r w:rsidRPr="002050C2">
        <w:rPr>
          <w:spacing w:val="-2"/>
          <w:sz w:val="20"/>
          <w:szCs w:val="20"/>
        </w:rPr>
        <w:t>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w:t>
      </w:r>
      <w:r w:rsidRPr="002050C2">
        <w:rPr>
          <w:spacing w:val="-2"/>
          <w:sz w:val="20"/>
          <w:szCs w:val="20"/>
        </w:rPr>
        <w:noBreakHyphen/>
        <w:t xml:space="preserve">être économique du pays, à la défense de l'ordre et à la prévention des infractions pénales, </w:t>
      </w:r>
      <w:r w:rsidRPr="008020AE">
        <w:rPr>
          <w:i/>
          <w:spacing w:val="-2"/>
          <w:sz w:val="20"/>
          <w:szCs w:val="20"/>
        </w:rPr>
        <w:t>à la protection de la santé</w:t>
      </w:r>
      <w:r w:rsidRPr="002050C2">
        <w:rPr>
          <w:spacing w:val="-2"/>
          <w:sz w:val="20"/>
          <w:szCs w:val="20"/>
        </w:rPr>
        <w:t xml:space="preserve"> ou de la morale, ou à la protection des droits et libertés d'autrui.</w:t>
      </w:r>
      <w:r w:rsidR="008020AE">
        <w:rPr>
          <w:spacing w:val="-2"/>
          <w:sz w:val="20"/>
          <w:szCs w:val="20"/>
        </w:rPr>
        <w:t xml:space="preserve"> (italiques ajoutés).</w:t>
      </w:r>
    </w:p>
    <w:p w14:paraId="76610936" w14:textId="77777777" w:rsidR="002F266C" w:rsidRDefault="002F266C" w:rsidP="00552C87">
      <w:pPr>
        <w:jc w:val="both"/>
        <w:rPr>
          <w:rFonts w:eastAsia="Times New Roman"/>
        </w:rPr>
      </w:pPr>
    </w:p>
    <w:p w14:paraId="4BE0BE6A" w14:textId="0FC38712" w:rsidR="00E234F1" w:rsidRDefault="002E5DF6" w:rsidP="00552C87">
      <w:pPr>
        <w:jc w:val="both"/>
        <w:rPr>
          <w:rFonts w:eastAsia="Times New Roman"/>
        </w:rPr>
      </w:pPr>
      <w:r>
        <w:rPr>
          <w:rFonts w:eastAsia="Times New Roman"/>
        </w:rPr>
        <w:tab/>
        <w:t>L</w:t>
      </w:r>
      <w:r w:rsidR="00D0222E">
        <w:rPr>
          <w:rFonts w:eastAsia="Times New Roman"/>
        </w:rPr>
        <w:t xml:space="preserve">e même type de </w:t>
      </w:r>
      <w:r w:rsidR="00B90FB5">
        <w:rPr>
          <w:rFonts w:eastAsia="Times New Roman"/>
        </w:rPr>
        <w:t>restric</w:t>
      </w:r>
      <w:r w:rsidR="00D0222E">
        <w:rPr>
          <w:rFonts w:eastAsia="Times New Roman"/>
        </w:rPr>
        <w:t>tion</w:t>
      </w:r>
      <w:r>
        <w:rPr>
          <w:rFonts w:eastAsia="Times New Roman"/>
        </w:rPr>
        <w:t xml:space="preserve"> fondée sur </w:t>
      </w:r>
      <w:r w:rsidRPr="00560820">
        <w:rPr>
          <w:rFonts w:eastAsia="Times New Roman"/>
          <w:u w:val="single"/>
        </w:rPr>
        <w:t>la protection de la santé</w:t>
      </w:r>
      <w:r>
        <w:rPr>
          <w:rFonts w:eastAsia="Times New Roman"/>
        </w:rPr>
        <w:t xml:space="preserve"> se re</w:t>
      </w:r>
      <w:r>
        <w:rPr>
          <w:rFonts w:eastAsia="Times New Roman"/>
        </w:rPr>
        <w:t>trouve</w:t>
      </w:r>
      <w:r w:rsidR="00D0222E">
        <w:rPr>
          <w:rFonts w:eastAsia="Times New Roman"/>
        </w:rPr>
        <w:t xml:space="preserve"> dans </w:t>
      </w:r>
      <w:r>
        <w:rPr>
          <w:rFonts w:eastAsia="Times New Roman"/>
        </w:rPr>
        <w:t>d’autres instruments protecteurs des droits humains</w:t>
      </w:r>
      <w:r w:rsidR="00F83FD2">
        <w:rPr>
          <w:rFonts w:eastAsia="Times New Roman"/>
        </w:rPr>
        <w:t> ; par ex.,</w:t>
      </w:r>
      <w:r>
        <w:rPr>
          <w:rFonts w:eastAsia="Times New Roman"/>
        </w:rPr>
        <w:t xml:space="preserve"> </w:t>
      </w:r>
      <w:r w:rsidR="00D0222E">
        <w:rPr>
          <w:rFonts w:eastAsia="Times New Roman"/>
        </w:rPr>
        <w:t xml:space="preserve">le Pacte international </w:t>
      </w:r>
      <w:r w:rsidR="00A50A8A">
        <w:rPr>
          <w:rFonts w:eastAsia="Times New Roman"/>
        </w:rPr>
        <w:t xml:space="preserve">de 1966 </w:t>
      </w:r>
      <w:r w:rsidR="00D0222E">
        <w:rPr>
          <w:rFonts w:eastAsia="Times New Roman"/>
        </w:rPr>
        <w:t xml:space="preserve">relatif aux droits civils et politiques (art. </w:t>
      </w:r>
      <w:r w:rsidR="008E3347">
        <w:rPr>
          <w:rFonts w:eastAsia="Times New Roman"/>
        </w:rPr>
        <w:t>12,</w:t>
      </w:r>
      <w:r w:rsidR="00B90FB5">
        <w:rPr>
          <w:rFonts w:eastAsia="Times New Roman"/>
        </w:rPr>
        <w:t xml:space="preserve"> 18-22)</w:t>
      </w:r>
      <w:r w:rsidR="00C94C23">
        <w:rPr>
          <w:rFonts w:eastAsia="Times New Roman"/>
        </w:rPr>
        <w:t xml:space="preserve"> ou</w:t>
      </w:r>
      <w:r w:rsidR="00A50A8A">
        <w:rPr>
          <w:rFonts w:eastAsia="Times New Roman"/>
        </w:rPr>
        <w:t xml:space="preserve"> la Convention de 1989 relative aux droits de l’enfant (art. 10, </w:t>
      </w:r>
      <w:r w:rsidR="00407E46">
        <w:rPr>
          <w:rFonts w:eastAsia="Times New Roman"/>
        </w:rPr>
        <w:t>13-15</w:t>
      </w:r>
      <w:r w:rsidR="00526634">
        <w:rPr>
          <w:rFonts w:eastAsia="Times New Roman"/>
        </w:rPr>
        <w:t>).</w:t>
      </w:r>
      <w:r w:rsidR="00555A19">
        <w:rPr>
          <w:rFonts w:eastAsia="Times New Roman"/>
        </w:rPr>
        <w:t xml:space="preserve"> Il est donc irrationnel d’invoquer les droits humains pour manifester contre les mesures visant à prévenir la propagation du corona virus.</w:t>
      </w:r>
    </w:p>
    <w:p w14:paraId="64A629FF" w14:textId="77777777" w:rsidR="001E673D" w:rsidRDefault="001E673D" w:rsidP="00552C87">
      <w:pPr>
        <w:jc w:val="both"/>
        <w:rPr>
          <w:rFonts w:eastAsia="Times New Roman"/>
        </w:rPr>
      </w:pPr>
    </w:p>
    <w:p w14:paraId="774F628D" w14:textId="63F0B441" w:rsidR="00C44D55" w:rsidRDefault="00A90E46" w:rsidP="00552C87">
      <w:pPr>
        <w:jc w:val="both"/>
        <w:rPr>
          <w:rStyle w:val="s68f5eaef"/>
        </w:rPr>
      </w:pPr>
      <w:r>
        <w:rPr>
          <w:rFonts w:eastAsia="Times New Roman"/>
        </w:rPr>
        <w:tab/>
        <w:t>Cela n’a cependant pas empêché de</w:t>
      </w:r>
      <w:r w:rsidR="00E205EE">
        <w:rPr>
          <w:rFonts w:eastAsia="Times New Roman"/>
        </w:rPr>
        <w:t xml:space="preserve">s </w:t>
      </w:r>
      <w:r>
        <w:rPr>
          <w:rFonts w:eastAsia="Times New Roman"/>
        </w:rPr>
        <w:t xml:space="preserve">particuliers </w:t>
      </w:r>
      <w:r w:rsidR="00E205EE">
        <w:rPr>
          <w:rFonts w:eastAsia="Times New Roman"/>
        </w:rPr>
        <w:t xml:space="preserve">d’attaquer ces mesures </w:t>
      </w:r>
      <w:r w:rsidR="00B34EA5">
        <w:rPr>
          <w:rFonts w:eastAsia="Times New Roman"/>
        </w:rPr>
        <w:t xml:space="preserve">devant la Cour EDH. Tel a été le cas de l’aff. </w:t>
      </w:r>
      <w:r w:rsidR="00B34EA5" w:rsidRPr="00B34EA5">
        <w:rPr>
          <w:rFonts w:eastAsia="Times New Roman"/>
          <w:i/>
        </w:rPr>
        <w:t>V</w:t>
      </w:r>
      <w:r w:rsidR="00B34EA5" w:rsidRPr="00B34EA5">
        <w:rPr>
          <w:rFonts w:eastAsia="Times New Roman"/>
          <w:i/>
        </w:rPr>
        <w:t xml:space="preserve">avřička et autres </w:t>
      </w:r>
      <w:r w:rsidR="00B34EA5" w:rsidRPr="00B34EA5">
        <w:rPr>
          <w:rFonts w:eastAsia="Times New Roman"/>
          <w:i/>
        </w:rPr>
        <w:t>c. R</w:t>
      </w:r>
      <w:r w:rsidR="00B34EA5" w:rsidRPr="00B34EA5">
        <w:rPr>
          <w:rFonts w:eastAsia="Times New Roman"/>
          <w:i/>
        </w:rPr>
        <w:t>épublique tchèque</w:t>
      </w:r>
      <w:r w:rsidR="00B34EA5">
        <w:rPr>
          <w:rFonts w:eastAsia="Times New Roman"/>
        </w:rPr>
        <w:t xml:space="preserve"> où les requérants estimaient que l’obligation légale de faire vacciner leurs enfants</w:t>
      </w:r>
      <w:r w:rsidR="007C275D">
        <w:rPr>
          <w:rFonts w:eastAsia="Times New Roman"/>
        </w:rPr>
        <w:t xml:space="preserve"> pour qu’ils puissent accéder à l’école maternelle</w:t>
      </w:r>
      <w:r w:rsidR="00B34EA5">
        <w:rPr>
          <w:rFonts w:eastAsia="Times New Roman"/>
        </w:rPr>
        <w:t xml:space="preserve"> était contraire à l’art. 8 de la Convention</w:t>
      </w:r>
      <w:r w:rsidR="00D11E55">
        <w:rPr>
          <w:rFonts w:eastAsia="Times New Roman"/>
        </w:rPr>
        <w:t xml:space="preserve"> (texte ci-dessus)</w:t>
      </w:r>
      <w:r w:rsidR="00B34EA5">
        <w:rPr>
          <w:rFonts w:eastAsia="Times New Roman"/>
        </w:rPr>
        <w:t>.</w:t>
      </w:r>
      <w:r w:rsidR="00D11E55">
        <w:rPr>
          <w:rFonts w:eastAsia="Times New Roman"/>
        </w:rPr>
        <w:t xml:space="preserve"> La Cour</w:t>
      </w:r>
      <w:r w:rsidR="00560820">
        <w:rPr>
          <w:rFonts w:eastAsia="Times New Roman"/>
        </w:rPr>
        <w:t>,</w:t>
      </w:r>
      <w:r w:rsidR="00D11E55">
        <w:rPr>
          <w:rFonts w:eastAsia="Times New Roman"/>
        </w:rPr>
        <w:t xml:space="preserve"> réunie en grande Chambre</w:t>
      </w:r>
      <w:r w:rsidR="00560820">
        <w:rPr>
          <w:rFonts w:eastAsia="Times New Roman"/>
        </w:rPr>
        <w:t>,</w:t>
      </w:r>
      <w:r w:rsidR="00D11E55">
        <w:rPr>
          <w:rFonts w:eastAsia="Times New Roman"/>
        </w:rPr>
        <w:t xml:space="preserve"> a débouté les requérants</w:t>
      </w:r>
      <w:r w:rsidR="003B5019">
        <w:rPr>
          <w:rFonts w:eastAsia="Times New Roman"/>
        </w:rPr>
        <w:t xml:space="preserve"> après avoir constaté que</w:t>
      </w:r>
      <w:r w:rsidR="003418FE">
        <w:rPr>
          <w:rFonts w:eastAsia="Times New Roman"/>
        </w:rPr>
        <w:t>, si</w:t>
      </w:r>
      <w:r w:rsidR="003B5019">
        <w:rPr>
          <w:rFonts w:eastAsia="Times New Roman"/>
        </w:rPr>
        <w:t> </w:t>
      </w:r>
      <w:r w:rsidR="003B5019">
        <w:rPr>
          <w:rStyle w:val="s68f5eaef"/>
        </w:rPr>
        <w:t>la vaccination obligatoire constituait</w:t>
      </w:r>
      <w:r w:rsidR="003B5019">
        <w:rPr>
          <w:rStyle w:val="s68f5eaef"/>
        </w:rPr>
        <w:t xml:space="preserve"> </w:t>
      </w:r>
      <w:r w:rsidR="003B5019">
        <w:rPr>
          <w:rStyle w:val="s68f5eaef"/>
        </w:rPr>
        <w:t>bien « </w:t>
      </w:r>
      <w:r w:rsidR="003B5019">
        <w:rPr>
          <w:rStyle w:val="s68f5eaef"/>
        </w:rPr>
        <w:t xml:space="preserve">une </w:t>
      </w:r>
      <w:r w:rsidR="003B5019" w:rsidRPr="003B5019">
        <w:rPr>
          <w:rStyle w:val="s68f5eaef"/>
        </w:rPr>
        <w:t>ingérence</w:t>
      </w:r>
      <w:r w:rsidR="003B5019">
        <w:rPr>
          <w:rStyle w:val="s68f5eaef"/>
        </w:rPr>
        <w:t xml:space="preserve"> dans l’exercice du droit au respect de la vie privée</w:t>
      </w:r>
      <w:r w:rsidR="003B5019">
        <w:rPr>
          <w:rStyle w:val="s68f5eaef"/>
        </w:rPr>
        <w:t> » (arrêt du 8 avril 2021</w:t>
      </w:r>
      <w:r w:rsidR="003418FE">
        <w:rPr>
          <w:rStyle w:val="s68f5eaef"/>
        </w:rPr>
        <w:t xml:space="preserve">, § 263), </w:t>
      </w:r>
      <w:r w:rsidR="00204998">
        <w:rPr>
          <w:rStyle w:val="s68f5eaef"/>
        </w:rPr>
        <w:t>cette ingérence</w:t>
      </w:r>
      <w:r w:rsidR="003B5019">
        <w:rPr>
          <w:rStyle w:val="s68f5eaef"/>
        </w:rPr>
        <w:t xml:space="preserve"> pouvait se justifier </w:t>
      </w:r>
    </w:p>
    <w:p w14:paraId="6BAFF205" w14:textId="77777777" w:rsidR="00C44D55" w:rsidRDefault="00C44D55" w:rsidP="00552C87">
      <w:pPr>
        <w:jc w:val="both"/>
        <w:rPr>
          <w:rStyle w:val="s68f5eaef"/>
        </w:rPr>
      </w:pPr>
    </w:p>
    <w:p w14:paraId="366FE464" w14:textId="69FB248D" w:rsidR="003B5019" w:rsidRDefault="00C44D55" w:rsidP="00204998">
      <w:pPr>
        <w:ind w:left="709" w:hanging="283"/>
        <w:jc w:val="both"/>
        <w:rPr>
          <w:rStyle w:val="s68f5eaef"/>
        </w:rPr>
      </w:pPr>
      <w:r>
        <w:rPr>
          <w:rStyle w:val="s68f5eaef"/>
        </w:rPr>
        <w:t>-</w:t>
      </w:r>
      <w:r>
        <w:rPr>
          <w:rStyle w:val="s68f5eaef"/>
        </w:rPr>
        <w:tab/>
      </w:r>
      <w:r w:rsidR="00204998">
        <w:rPr>
          <w:rStyle w:val="s68f5eaef"/>
        </w:rPr>
        <w:t>au regard</w:t>
      </w:r>
      <w:r w:rsidR="00204998">
        <w:rPr>
          <w:rStyle w:val="s68f5eaef"/>
        </w:rPr>
        <w:t xml:space="preserve"> </w:t>
      </w:r>
      <w:r w:rsidR="003B5019">
        <w:rPr>
          <w:rStyle w:val="s68f5eaef"/>
        </w:rPr>
        <w:t>des nécessités de « la solidarité sociale » (</w:t>
      </w:r>
      <w:r w:rsidR="003B5019">
        <w:rPr>
          <w:rStyle w:val="s68f5eaef"/>
          <w:i/>
        </w:rPr>
        <w:t>ibid.</w:t>
      </w:r>
      <w:r w:rsidR="003B5019">
        <w:rPr>
          <w:rStyle w:val="s68f5eaef"/>
        </w:rPr>
        <w:t>, §</w:t>
      </w:r>
      <w:r w:rsidR="009534D6">
        <w:rPr>
          <w:rStyle w:val="s68f5eaef"/>
        </w:rPr>
        <w:t>§</w:t>
      </w:r>
      <w:r w:rsidR="003B5019">
        <w:rPr>
          <w:rStyle w:val="s68f5eaef"/>
        </w:rPr>
        <w:t xml:space="preserve"> 279</w:t>
      </w:r>
      <w:r w:rsidR="009534D6">
        <w:rPr>
          <w:rStyle w:val="s68f5eaef"/>
        </w:rPr>
        <w:t xml:space="preserve"> et 306</w:t>
      </w:r>
      <w:r w:rsidR="003B5019">
        <w:rPr>
          <w:rStyle w:val="s68f5eaef"/>
        </w:rPr>
        <w:t>)</w:t>
      </w:r>
      <w:r>
        <w:rPr>
          <w:rStyle w:val="s68f5eaef"/>
        </w:rPr>
        <w:t> ;</w:t>
      </w:r>
    </w:p>
    <w:p w14:paraId="74C6478E" w14:textId="01DC1768" w:rsidR="00C44D55" w:rsidRDefault="00C44D55" w:rsidP="00204998">
      <w:pPr>
        <w:ind w:left="709" w:hanging="283"/>
        <w:jc w:val="both"/>
        <w:rPr>
          <w:rStyle w:val="s68f5eaef"/>
        </w:rPr>
      </w:pPr>
      <w:r>
        <w:rPr>
          <w:rStyle w:val="s68f5eaef"/>
        </w:rPr>
        <w:lastRenderedPageBreak/>
        <w:t>-</w:t>
      </w:r>
      <w:r>
        <w:rPr>
          <w:rStyle w:val="s68f5eaef"/>
        </w:rPr>
        <w:tab/>
      </w:r>
      <w:r w:rsidR="00204998">
        <w:rPr>
          <w:rStyle w:val="s68f5eaef"/>
        </w:rPr>
        <w:t>pour répondre au</w:t>
      </w:r>
      <w:r>
        <w:rPr>
          <w:rStyle w:val="s68f5eaef"/>
        </w:rPr>
        <w:t xml:space="preserve"> « besoin social impérieux </w:t>
      </w:r>
      <w:r w:rsidRPr="00C44D55">
        <w:rPr>
          <w:rStyle w:val="s68f5eaef"/>
        </w:rPr>
        <w:t>de protéger la santé individuelle et publique contre les maladies en question</w:t>
      </w:r>
      <w:r>
        <w:rPr>
          <w:rStyle w:val="s68f5eaef"/>
        </w:rPr>
        <w:t> » (</w:t>
      </w:r>
      <w:r>
        <w:rPr>
          <w:rStyle w:val="s68f5eaef"/>
          <w:i/>
        </w:rPr>
        <w:t>ibid.</w:t>
      </w:r>
      <w:r>
        <w:rPr>
          <w:rStyle w:val="s68f5eaef"/>
        </w:rPr>
        <w:t>, § 284) ;</w:t>
      </w:r>
    </w:p>
    <w:p w14:paraId="7A5005A2" w14:textId="737A933F" w:rsidR="00C44D55" w:rsidRDefault="00C44D55" w:rsidP="00204998">
      <w:pPr>
        <w:ind w:left="709" w:hanging="283"/>
        <w:jc w:val="both"/>
        <w:rPr>
          <w:rStyle w:val="s68f5eaef"/>
        </w:rPr>
      </w:pPr>
      <w:r>
        <w:rPr>
          <w:rStyle w:val="s68f5eaef"/>
        </w:rPr>
        <w:t>-</w:t>
      </w:r>
      <w:r>
        <w:rPr>
          <w:rStyle w:val="s68f5eaef"/>
        </w:rPr>
        <w:tab/>
      </w:r>
      <w:r w:rsidR="00204998">
        <w:rPr>
          <w:rStyle w:val="s68f5eaef"/>
        </w:rPr>
        <w:t xml:space="preserve">au nom </w:t>
      </w:r>
      <w:r>
        <w:rPr>
          <w:rStyle w:val="s68f5eaef"/>
        </w:rPr>
        <w:t>de « </w:t>
      </w:r>
      <w:r w:rsidRPr="00C44D55">
        <w:rPr>
          <w:rStyle w:val="s68f5eaef"/>
        </w:rPr>
        <w:t>l’intérêt supérieur des enfants</w:t>
      </w:r>
      <w:r>
        <w:rPr>
          <w:rStyle w:val="s68f5eaef"/>
        </w:rPr>
        <w:t> » (</w:t>
      </w:r>
      <w:r>
        <w:rPr>
          <w:rStyle w:val="s68f5eaef"/>
          <w:i/>
        </w:rPr>
        <w:t>ibid.</w:t>
      </w:r>
      <w:r>
        <w:rPr>
          <w:rStyle w:val="s68f5eaef"/>
        </w:rPr>
        <w:t>, §§ 287) s. ;</w:t>
      </w:r>
    </w:p>
    <w:p w14:paraId="536AAF77" w14:textId="6F3C8104" w:rsidR="007515D5" w:rsidRPr="006F0706" w:rsidRDefault="007515D5" w:rsidP="00204998">
      <w:pPr>
        <w:ind w:left="709" w:hanging="283"/>
        <w:jc w:val="both"/>
        <w:rPr>
          <w:rFonts w:eastAsia="Times New Roman"/>
        </w:rPr>
      </w:pPr>
      <w:r>
        <w:rPr>
          <w:rStyle w:val="s68f5eaef"/>
        </w:rPr>
        <w:t>-</w:t>
      </w:r>
      <w:r>
        <w:rPr>
          <w:rStyle w:val="s68f5eaef"/>
        </w:rPr>
        <w:tab/>
      </w:r>
      <w:r w:rsidR="00204998">
        <w:rPr>
          <w:rStyle w:val="s68f5eaef"/>
        </w:rPr>
        <w:t>en tant que mesure se situa</w:t>
      </w:r>
      <w:r w:rsidR="00204998" w:rsidRPr="00204998">
        <w:rPr>
          <w:rStyle w:val="s68f5eaef"/>
        </w:rPr>
        <w:t xml:space="preserve">nt </w:t>
      </w:r>
      <w:r w:rsidR="00204998">
        <w:rPr>
          <w:rStyle w:val="s68f5eaef"/>
        </w:rPr>
        <w:t>« </w:t>
      </w:r>
      <w:r w:rsidR="00204998" w:rsidRPr="00204998">
        <w:rPr>
          <w:rStyle w:val="s68f5eaef"/>
        </w:rPr>
        <w:t>dans un rapport de proportionnalité raisonnable avec les buts légitimes poursuivis par l’État défendeur à travers l’obligation vaccinale</w:t>
      </w:r>
      <w:r w:rsidR="006F0706">
        <w:rPr>
          <w:rStyle w:val="s68f5eaef"/>
        </w:rPr>
        <w:t> » (</w:t>
      </w:r>
      <w:r w:rsidR="006F0706">
        <w:rPr>
          <w:rStyle w:val="s68f5eaef"/>
          <w:i/>
        </w:rPr>
        <w:t>ibid.</w:t>
      </w:r>
      <w:r w:rsidR="006F0706">
        <w:rPr>
          <w:rStyle w:val="s68f5eaef"/>
        </w:rPr>
        <w:t xml:space="preserve">, </w:t>
      </w:r>
      <w:r w:rsidR="00204998">
        <w:rPr>
          <w:rStyle w:val="s68f5eaef"/>
        </w:rPr>
        <w:t xml:space="preserve">§ 309 ; voy. aussi </w:t>
      </w:r>
      <w:r w:rsidR="006F0706">
        <w:rPr>
          <w:rStyle w:val="s68f5eaef"/>
        </w:rPr>
        <w:t>§ 306</w:t>
      </w:r>
      <w:r w:rsidR="00204998">
        <w:rPr>
          <w:rStyle w:val="s68f5eaef"/>
        </w:rPr>
        <w:t>).</w:t>
      </w:r>
    </w:p>
    <w:p w14:paraId="03AB4599" w14:textId="77777777" w:rsidR="002F266C" w:rsidRDefault="002F266C" w:rsidP="00552C87">
      <w:pPr>
        <w:jc w:val="both"/>
        <w:rPr>
          <w:rFonts w:eastAsia="Times New Roman"/>
        </w:rPr>
      </w:pPr>
    </w:p>
    <w:p w14:paraId="340F4244" w14:textId="004C268F" w:rsidR="00204998" w:rsidRDefault="00204998" w:rsidP="00552C87">
      <w:pPr>
        <w:jc w:val="both"/>
        <w:rPr>
          <w:rFonts w:eastAsia="Times New Roman"/>
        </w:rPr>
      </w:pPr>
      <w:r>
        <w:rPr>
          <w:rFonts w:eastAsia="Times New Roman"/>
        </w:rPr>
        <w:tab/>
        <w:t>Ce faisant, la vaccination obligatoire des enfants imposée par la République tchèque n’excédait pas la « marge d’appréciation » de l'</w:t>
      </w:r>
      <w:r w:rsidR="000422CD">
        <w:rPr>
          <w:rFonts w:eastAsia="Times New Roman"/>
        </w:rPr>
        <w:t>État</w:t>
      </w:r>
      <w:r>
        <w:rPr>
          <w:rFonts w:eastAsia="Times New Roman"/>
        </w:rPr>
        <w:t xml:space="preserve"> défendeur</w:t>
      </w:r>
      <w:r w:rsidR="000422CD">
        <w:rPr>
          <w:rFonts w:eastAsia="Times New Roman"/>
        </w:rPr>
        <w:t>. La Cour conclu</w:t>
      </w:r>
      <w:r w:rsidR="000908F0">
        <w:rPr>
          <w:rFonts w:eastAsia="Times New Roman"/>
        </w:rPr>
        <w:t>ai</w:t>
      </w:r>
      <w:r w:rsidR="000422CD">
        <w:rPr>
          <w:rFonts w:eastAsia="Times New Roman"/>
        </w:rPr>
        <w:t>t « </w:t>
      </w:r>
      <w:r w:rsidR="000422CD" w:rsidRPr="000422CD">
        <w:rPr>
          <w:rFonts w:eastAsia="Times New Roman"/>
        </w:rPr>
        <w:t>que le</w:t>
      </w:r>
      <w:r w:rsidR="000422CD">
        <w:rPr>
          <w:rFonts w:eastAsia="Times New Roman"/>
        </w:rPr>
        <w:t>s mesures litigieuses étaient ‘</w:t>
      </w:r>
      <w:r w:rsidR="000422CD" w:rsidRPr="000422CD">
        <w:rPr>
          <w:rFonts w:eastAsia="Times New Roman"/>
        </w:rPr>
        <w:t>nécessaires dans une société démocratique</w:t>
      </w:r>
      <w:r w:rsidR="000422CD">
        <w:rPr>
          <w:rFonts w:eastAsia="Times New Roman"/>
        </w:rPr>
        <w:t>’</w:t>
      </w:r>
      <w:r w:rsidR="000422CD" w:rsidRPr="000422CD">
        <w:rPr>
          <w:rFonts w:eastAsia="Times New Roman"/>
        </w:rPr>
        <w:t xml:space="preserve"> »</w:t>
      </w:r>
      <w:r w:rsidR="000422CD">
        <w:rPr>
          <w:rFonts w:eastAsia="Times New Roman"/>
        </w:rPr>
        <w:t xml:space="preserve"> (</w:t>
      </w:r>
      <w:r w:rsidR="000422CD">
        <w:rPr>
          <w:rFonts w:eastAsia="Times New Roman"/>
          <w:i/>
        </w:rPr>
        <w:t>ibid.</w:t>
      </w:r>
      <w:r w:rsidR="000422CD">
        <w:rPr>
          <w:rFonts w:eastAsia="Times New Roman"/>
        </w:rPr>
        <w:t>, § 310)</w:t>
      </w:r>
      <w:r w:rsidR="000422CD" w:rsidRPr="000422CD">
        <w:rPr>
          <w:rFonts w:eastAsia="Times New Roman"/>
        </w:rPr>
        <w:t>.</w:t>
      </w:r>
      <w:r w:rsidR="000422CD">
        <w:rPr>
          <w:rFonts w:eastAsia="Times New Roman"/>
        </w:rPr>
        <w:t xml:space="preserve"> </w:t>
      </w:r>
    </w:p>
    <w:p w14:paraId="046FF593" w14:textId="77777777" w:rsidR="000908F0" w:rsidRDefault="000908F0" w:rsidP="00552C87">
      <w:pPr>
        <w:jc w:val="both"/>
        <w:rPr>
          <w:rFonts w:eastAsia="Times New Roman"/>
        </w:rPr>
      </w:pPr>
    </w:p>
    <w:p w14:paraId="562CAFAA" w14:textId="5B218685" w:rsidR="000908F0" w:rsidRDefault="000908F0" w:rsidP="00552C87">
      <w:pPr>
        <w:jc w:val="both"/>
        <w:rPr>
          <w:rFonts w:eastAsia="Times New Roman"/>
        </w:rPr>
      </w:pPr>
      <w:r>
        <w:rPr>
          <w:rFonts w:eastAsia="Times New Roman"/>
        </w:rPr>
        <w:tab/>
        <w:t>L’arrêt a été rendu</w:t>
      </w:r>
      <w:r w:rsidR="00555A19">
        <w:rPr>
          <w:rFonts w:eastAsia="Times New Roman"/>
        </w:rPr>
        <w:t xml:space="preserve"> à la quasi unanimité</w:t>
      </w:r>
      <w:bookmarkStart w:id="0" w:name="_GoBack"/>
      <w:bookmarkEnd w:id="0"/>
      <w:r>
        <w:rPr>
          <w:rFonts w:eastAsia="Times New Roman"/>
        </w:rPr>
        <w:t xml:space="preserve"> par seize voix contre une, celle du juge polonais, </w:t>
      </w:r>
      <w:r>
        <w:t>K. W</w:t>
      </w:r>
      <w:r w:rsidRPr="00EC17ED">
        <w:t>ojtyczek</w:t>
      </w:r>
      <w:r>
        <w:t>, qui observait, entre autres, qu’il n’avait pas été prouvé « </w:t>
      </w:r>
      <w:r w:rsidRPr="00552C87">
        <w:t>que les États ayant mis en plac</w:t>
      </w:r>
      <w:r>
        <w:t>e l’obligation vaccinale [obtenai</w:t>
      </w:r>
      <w:r w:rsidRPr="00552C87">
        <w:t>ent</w:t>
      </w:r>
      <w:r>
        <w:t>]</w:t>
      </w:r>
      <w:r w:rsidRPr="00552C87">
        <w:t xml:space="preserve"> de meilleurs résultats en matière de santé publique que les États qui </w:t>
      </w:r>
      <w:r>
        <w:t>n’[avaient]</w:t>
      </w:r>
      <w:r w:rsidRPr="00552C87">
        <w:t xml:space="preserve"> pas instauré cette obligation</w:t>
      </w:r>
      <w:r>
        <w:t> » (</w:t>
      </w:r>
      <w:r>
        <w:rPr>
          <w:i/>
        </w:rPr>
        <w:t>ibid.</w:t>
      </w:r>
      <w:r>
        <w:t xml:space="preserve">, op. diss. </w:t>
      </w:r>
      <w:r>
        <w:t>W</w:t>
      </w:r>
      <w:r w:rsidRPr="00EC17ED">
        <w:t>ojtyczek</w:t>
      </w:r>
      <w:r>
        <w:t>, § 16).</w:t>
      </w:r>
      <w:r w:rsidR="00D31BEE">
        <w:t xml:space="preserve"> On notera </w:t>
      </w:r>
      <w:r w:rsidR="00CC0B60">
        <w:t>pourtant</w:t>
      </w:r>
      <w:r w:rsidR="00D31BEE">
        <w:t xml:space="preserve"> qu’en Belgique des observations </w:t>
      </w:r>
      <w:r w:rsidR="00FA0E95">
        <w:t>épidémiologiques</w:t>
      </w:r>
      <w:r w:rsidR="00D31BEE">
        <w:t xml:space="preserve"> démontrent clairement les avantages de la vaccination sur l’absence de vaccination :</w:t>
      </w:r>
    </w:p>
    <w:p w14:paraId="0FB20AA4" w14:textId="77777777" w:rsidR="00B34EA5" w:rsidRDefault="00B34EA5" w:rsidP="00552C87">
      <w:pPr>
        <w:jc w:val="both"/>
        <w:rPr>
          <w:rFonts w:eastAsia="Times New Roman"/>
        </w:rPr>
      </w:pPr>
    </w:p>
    <w:p w14:paraId="5C999E20" w14:textId="5386D68A" w:rsidR="00557D24" w:rsidRPr="00D31BEE" w:rsidRDefault="00D31BEE" w:rsidP="00D31BEE">
      <w:pPr>
        <w:ind w:left="709"/>
        <w:jc w:val="both"/>
        <w:rPr>
          <w:rFonts w:eastAsia="Times New Roman"/>
          <w:sz w:val="20"/>
          <w:szCs w:val="20"/>
        </w:rPr>
      </w:pPr>
      <w:r w:rsidRPr="00D31BEE">
        <w:rPr>
          <w:rFonts w:eastAsia="Times New Roman"/>
          <w:sz w:val="20"/>
          <w:szCs w:val="20"/>
        </w:rPr>
        <w:t>« </w:t>
      </w:r>
      <w:r w:rsidR="00557D24" w:rsidRPr="00D31BEE">
        <w:rPr>
          <w:rFonts w:eastAsia="Times New Roman"/>
          <w:sz w:val="20"/>
          <w:szCs w:val="20"/>
        </w:rPr>
        <w:t xml:space="preserve">Sciensano a analysé les chiffres en milieu hospitalier entre le 18 et le 31 octobre </w:t>
      </w:r>
      <w:r w:rsidR="00557D24" w:rsidRPr="00D31BEE">
        <w:rPr>
          <w:rFonts w:eastAsia="Times New Roman"/>
          <w:sz w:val="20"/>
          <w:szCs w:val="20"/>
        </w:rPr>
        <w:t>2021</w:t>
      </w:r>
      <w:r w:rsidR="00557D24" w:rsidRPr="00D31BEE">
        <w:rPr>
          <w:rFonts w:eastAsia="Times New Roman"/>
          <w:sz w:val="20"/>
          <w:szCs w:val="20"/>
        </w:rPr>
        <w:t>. Pour les 18-64 ans, d’abord. Ce que l’on remarque : quatre personnes entièrement vaccinées sur 100.000 ont été admises à l’hôpital, contre 31 sur 100.000 non vaccinées ; le risque est donc 88% inférieur chez les personnes immunisées.</w:t>
      </w:r>
      <w:r w:rsidRPr="00D31BEE">
        <w:rPr>
          <w:rFonts w:eastAsia="Times New Roman"/>
          <w:sz w:val="20"/>
          <w:szCs w:val="20"/>
        </w:rPr>
        <w:t> »</w:t>
      </w:r>
      <w:r w:rsidR="00557D24" w:rsidRPr="00D31BEE">
        <w:rPr>
          <w:rFonts w:eastAsia="Times New Roman"/>
          <w:sz w:val="20"/>
          <w:szCs w:val="20"/>
        </w:rPr>
        <w:t xml:space="preserve"> (</w:t>
      </w:r>
      <w:hyperlink r:id="rId6" w:history="1">
        <w:r w:rsidR="00557D24" w:rsidRPr="00D31BEE">
          <w:rPr>
            <w:rStyle w:val="Lienhypertexte"/>
            <w:rFonts w:eastAsia="Times New Roman"/>
            <w:sz w:val="20"/>
            <w:szCs w:val="20"/>
          </w:rPr>
          <w:t>https://www.rtbf.be/article/vaccin-hospitalisations-soins-intensifs-et-deces-que-disent-les-chiffres-en-belgique-10886442</w:t>
        </w:r>
      </w:hyperlink>
      <w:r w:rsidR="00557D24" w:rsidRPr="00D31BEE">
        <w:rPr>
          <w:rFonts w:eastAsia="Times New Roman"/>
          <w:sz w:val="20"/>
          <w:szCs w:val="20"/>
        </w:rPr>
        <w:t>)</w:t>
      </w:r>
    </w:p>
    <w:p w14:paraId="0C541D86" w14:textId="77777777" w:rsidR="00557D24" w:rsidRDefault="00557D24" w:rsidP="00552C87">
      <w:pPr>
        <w:jc w:val="both"/>
        <w:rPr>
          <w:rFonts w:eastAsia="Times New Roman"/>
          <w:lang w:eastAsia="fr-FR"/>
        </w:rPr>
      </w:pPr>
    </w:p>
    <w:p w14:paraId="50CE8BD6" w14:textId="172115B9" w:rsidR="00FA0E95" w:rsidRPr="0055557A" w:rsidRDefault="00FA0E95" w:rsidP="00552C87">
      <w:pPr>
        <w:jc w:val="both"/>
        <w:rPr>
          <w:rFonts w:eastAsia="Times New Roman"/>
          <w:lang w:eastAsia="fr-FR"/>
        </w:rPr>
      </w:pPr>
      <w:r>
        <w:rPr>
          <w:rFonts w:eastAsia="Times New Roman"/>
          <w:lang w:eastAsia="fr-FR"/>
        </w:rPr>
        <w:tab/>
      </w:r>
      <w:r w:rsidR="00F4445E">
        <w:rPr>
          <w:rFonts w:eastAsia="Times New Roman"/>
          <w:lang w:eastAsia="fr-FR"/>
        </w:rPr>
        <w:t>Au vu de ce qui précède, on voit que la référence au respect des droit humains brandie par les participants à la manifestation du 23 janvier dernier à Bruxelles</w:t>
      </w:r>
      <w:r w:rsidR="00AD2755">
        <w:rPr>
          <w:rFonts w:eastAsia="Times New Roman"/>
          <w:lang w:eastAsia="fr-FR"/>
        </w:rPr>
        <w:t xml:space="preserve"> reste un simple slogan dénué de tout fondement tant juridique que scientifique. </w:t>
      </w:r>
      <w:r w:rsidR="004563C4">
        <w:rPr>
          <w:rFonts w:eastAsia="Times New Roman"/>
          <w:lang w:eastAsia="fr-FR"/>
        </w:rPr>
        <w:t xml:space="preserve">Cette </w:t>
      </w:r>
      <w:r w:rsidR="00BA7537">
        <w:rPr>
          <w:rFonts w:eastAsia="Times New Roman"/>
          <w:lang w:eastAsia="fr-FR"/>
        </w:rPr>
        <w:t xml:space="preserve">invocation des droits humains pour contester les mesures sanitaires décidées par l’État </w:t>
      </w:r>
      <w:r w:rsidR="004563C4">
        <w:rPr>
          <w:rFonts w:eastAsia="Times New Roman"/>
          <w:lang w:eastAsia="fr-FR"/>
        </w:rPr>
        <w:t xml:space="preserve">n’en démontre pas moins que la complosphère </w:t>
      </w:r>
      <w:r w:rsidR="00F23320">
        <w:rPr>
          <w:rFonts w:eastAsia="Times New Roman"/>
          <w:lang w:eastAsia="fr-FR"/>
        </w:rPr>
        <w:t>est aussi résistante</w:t>
      </w:r>
      <w:r w:rsidR="006E57A7">
        <w:rPr>
          <w:rFonts w:eastAsia="Times New Roman"/>
          <w:lang w:eastAsia="fr-FR"/>
        </w:rPr>
        <w:t>, voire plus résistante,</w:t>
      </w:r>
      <w:r w:rsidR="00A35348">
        <w:rPr>
          <w:rFonts w:eastAsia="Times New Roman"/>
          <w:lang w:eastAsia="fr-FR"/>
        </w:rPr>
        <w:t xml:space="preserve"> que les </w:t>
      </w:r>
      <w:r w:rsidR="00F23320">
        <w:rPr>
          <w:rFonts w:eastAsia="Times New Roman"/>
          <w:lang w:eastAsia="fr-FR"/>
        </w:rPr>
        <w:t>virus,</w:t>
      </w:r>
      <w:r w:rsidR="001B4630">
        <w:rPr>
          <w:rFonts w:eastAsia="Times New Roman"/>
          <w:lang w:eastAsia="fr-FR"/>
        </w:rPr>
        <w:t xml:space="preserve"> un phénomène </w:t>
      </w:r>
      <w:r w:rsidR="00F23320">
        <w:rPr>
          <w:rFonts w:eastAsia="Times New Roman"/>
          <w:lang w:eastAsia="fr-FR"/>
        </w:rPr>
        <w:t>qu’on ne peut malheureusement pas endiguer à l’aide de vaccins</w:t>
      </w:r>
      <w:r w:rsidR="001B4630">
        <w:rPr>
          <w:rFonts w:eastAsia="Times New Roman"/>
          <w:lang w:eastAsia="fr-FR"/>
        </w:rPr>
        <w:t>. Comme l’écrit Juval Noah Harari : « </w:t>
      </w:r>
      <w:r w:rsidR="00626DE0">
        <w:rPr>
          <w:rFonts w:eastAsia="Times New Roman"/>
          <w:lang w:eastAsia="fr-FR"/>
        </w:rPr>
        <w:t>il ne fau</w:t>
      </w:r>
      <w:r w:rsidR="001B4630">
        <w:rPr>
          <w:rFonts w:eastAsia="Times New Roman"/>
          <w:lang w:eastAsia="fr-FR"/>
        </w:rPr>
        <w:t xml:space="preserve">t jamais sous-estimer la bêtise humaine » </w:t>
      </w:r>
      <w:r w:rsidR="0055557A">
        <w:rPr>
          <w:rFonts w:eastAsia="Times New Roman"/>
          <w:lang w:eastAsia="fr-FR"/>
        </w:rPr>
        <w:t>(</w:t>
      </w:r>
      <w:r w:rsidR="0055557A">
        <w:rPr>
          <w:rFonts w:eastAsia="Times New Roman"/>
          <w:i/>
          <w:lang w:eastAsia="fr-FR"/>
        </w:rPr>
        <w:t>21 leçons pour le XXIe siècle</w:t>
      </w:r>
      <w:r w:rsidR="0055557A">
        <w:rPr>
          <w:rFonts w:eastAsia="Times New Roman"/>
          <w:lang w:eastAsia="fr-FR"/>
        </w:rPr>
        <w:t>, Par</w:t>
      </w:r>
      <w:r w:rsidR="00626DE0">
        <w:rPr>
          <w:rFonts w:eastAsia="Times New Roman"/>
          <w:lang w:eastAsia="fr-FR"/>
        </w:rPr>
        <w:t>is, Albin Michal, 2018, p. 287) mais il faut en rester conscient</w:t>
      </w:r>
      <w:r w:rsidR="004743C3">
        <w:rPr>
          <w:rFonts w:eastAsia="Times New Roman"/>
          <w:lang w:eastAsia="fr-FR"/>
        </w:rPr>
        <w:t xml:space="preserve"> et déployer contre elle la même énergie que contre les virus …</w:t>
      </w:r>
    </w:p>
    <w:p w14:paraId="11594BC8" w14:textId="78798A26" w:rsidR="007B34BE" w:rsidRDefault="007B34BE" w:rsidP="00552C87">
      <w:pPr>
        <w:jc w:val="both"/>
      </w:pPr>
    </w:p>
    <w:p w14:paraId="29BCF2A0" w14:textId="77777777" w:rsidR="00EA7E05" w:rsidRDefault="00EA7E05" w:rsidP="00552C87">
      <w:pPr>
        <w:jc w:val="both"/>
      </w:pPr>
    </w:p>
    <w:p w14:paraId="78FCBE32" w14:textId="77777777" w:rsidR="0091721B" w:rsidRDefault="0091721B"/>
    <w:sectPr w:rsidR="0091721B" w:rsidSect="00FE41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24"/>
    <w:rsid w:val="000422CD"/>
    <w:rsid w:val="000908F0"/>
    <w:rsid w:val="00091166"/>
    <w:rsid w:val="001B4630"/>
    <w:rsid w:val="001E673D"/>
    <w:rsid w:val="00204998"/>
    <w:rsid w:val="002050C2"/>
    <w:rsid w:val="00261551"/>
    <w:rsid w:val="002E5DF6"/>
    <w:rsid w:val="002F266C"/>
    <w:rsid w:val="003075D9"/>
    <w:rsid w:val="00325BA4"/>
    <w:rsid w:val="003418FE"/>
    <w:rsid w:val="003A32DC"/>
    <w:rsid w:val="003B5019"/>
    <w:rsid w:val="003C7EC1"/>
    <w:rsid w:val="003F1049"/>
    <w:rsid w:val="00407E46"/>
    <w:rsid w:val="004536D1"/>
    <w:rsid w:val="004563C4"/>
    <w:rsid w:val="004743C3"/>
    <w:rsid w:val="00526634"/>
    <w:rsid w:val="00551676"/>
    <w:rsid w:val="00552C87"/>
    <w:rsid w:val="0055557A"/>
    <w:rsid w:val="00555A19"/>
    <w:rsid w:val="00557D24"/>
    <w:rsid w:val="00560820"/>
    <w:rsid w:val="005E1354"/>
    <w:rsid w:val="005F24B5"/>
    <w:rsid w:val="00614EA2"/>
    <w:rsid w:val="00626DE0"/>
    <w:rsid w:val="00627992"/>
    <w:rsid w:val="006E57A7"/>
    <w:rsid w:val="006F0706"/>
    <w:rsid w:val="007236EA"/>
    <w:rsid w:val="007515D5"/>
    <w:rsid w:val="007A2F8F"/>
    <w:rsid w:val="007A3BEA"/>
    <w:rsid w:val="007B2F0D"/>
    <w:rsid w:val="007B34BE"/>
    <w:rsid w:val="007C275D"/>
    <w:rsid w:val="008020AE"/>
    <w:rsid w:val="00837D95"/>
    <w:rsid w:val="008A0F39"/>
    <w:rsid w:val="008C1723"/>
    <w:rsid w:val="008E3347"/>
    <w:rsid w:val="0091721B"/>
    <w:rsid w:val="00947B22"/>
    <w:rsid w:val="009534D6"/>
    <w:rsid w:val="009A52F2"/>
    <w:rsid w:val="009B57D6"/>
    <w:rsid w:val="009E5BE3"/>
    <w:rsid w:val="00A35348"/>
    <w:rsid w:val="00A50A8A"/>
    <w:rsid w:val="00A90E46"/>
    <w:rsid w:val="00A93894"/>
    <w:rsid w:val="00AC1BE0"/>
    <w:rsid w:val="00AD2755"/>
    <w:rsid w:val="00B34EA5"/>
    <w:rsid w:val="00B551BE"/>
    <w:rsid w:val="00B90FB5"/>
    <w:rsid w:val="00B951B7"/>
    <w:rsid w:val="00BA7537"/>
    <w:rsid w:val="00BC09D6"/>
    <w:rsid w:val="00BD362A"/>
    <w:rsid w:val="00C44D55"/>
    <w:rsid w:val="00C81104"/>
    <w:rsid w:val="00C94C23"/>
    <w:rsid w:val="00CA159D"/>
    <w:rsid w:val="00CC0B60"/>
    <w:rsid w:val="00D0222E"/>
    <w:rsid w:val="00D11E55"/>
    <w:rsid w:val="00D21D1C"/>
    <w:rsid w:val="00D25608"/>
    <w:rsid w:val="00D31BEE"/>
    <w:rsid w:val="00E205EE"/>
    <w:rsid w:val="00E234F1"/>
    <w:rsid w:val="00E46433"/>
    <w:rsid w:val="00E81625"/>
    <w:rsid w:val="00EA7E05"/>
    <w:rsid w:val="00EC0108"/>
    <w:rsid w:val="00EC17ED"/>
    <w:rsid w:val="00F23320"/>
    <w:rsid w:val="00F4445E"/>
    <w:rsid w:val="00F83FD2"/>
    <w:rsid w:val="00FA0E95"/>
    <w:rsid w:val="00FE41C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8A78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91166"/>
    <w:pPr>
      <w:ind w:left="397" w:hanging="397"/>
    </w:pPr>
    <w:rPr>
      <w:sz w:val="18"/>
    </w:rPr>
  </w:style>
  <w:style w:type="character" w:customStyle="1" w:styleId="NotedebasdepageCar">
    <w:name w:val="Note de bas de page Car"/>
    <w:basedOn w:val="Policepardfaut"/>
    <w:link w:val="Notedebasdepage"/>
    <w:uiPriority w:val="99"/>
    <w:rsid w:val="00091166"/>
    <w:rPr>
      <w:rFonts w:ascii="Times New Roman" w:hAnsi="Times New Roman"/>
      <w:sz w:val="18"/>
    </w:rPr>
  </w:style>
  <w:style w:type="character" w:styleId="Appelnotedebasdep">
    <w:name w:val="footnote reference"/>
    <w:basedOn w:val="Policepardfaut"/>
    <w:uiPriority w:val="99"/>
    <w:unhideWhenUsed/>
    <w:rsid w:val="007236EA"/>
    <w:rPr>
      <w:rFonts w:ascii="Times New Roman" w:hAnsi="Times New Roman"/>
      <w:sz w:val="18"/>
      <w:vertAlign w:val="superscript"/>
    </w:rPr>
  </w:style>
  <w:style w:type="character" w:styleId="Lienhypertexte">
    <w:name w:val="Hyperlink"/>
    <w:basedOn w:val="Policepardfaut"/>
    <w:uiPriority w:val="99"/>
    <w:unhideWhenUsed/>
    <w:rsid w:val="00557D24"/>
    <w:rPr>
      <w:color w:val="0563C1" w:themeColor="hyperlink"/>
      <w:u w:val="single"/>
    </w:rPr>
  </w:style>
  <w:style w:type="character" w:customStyle="1" w:styleId="s68f5eaef">
    <w:name w:val="s68f5eaef"/>
    <w:basedOn w:val="Policepardfaut"/>
    <w:rsid w:val="003B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38564">
      <w:bodyDiv w:val="1"/>
      <w:marLeft w:val="0"/>
      <w:marRight w:val="0"/>
      <w:marTop w:val="0"/>
      <w:marBottom w:val="0"/>
      <w:divBdr>
        <w:top w:val="none" w:sz="0" w:space="0" w:color="auto"/>
        <w:left w:val="none" w:sz="0" w:space="0" w:color="auto"/>
        <w:bottom w:val="none" w:sz="0" w:space="0" w:color="auto"/>
        <w:right w:val="none" w:sz="0" w:space="0" w:color="auto"/>
      </w:divBdr>
    </w:div>
    <w:div w:id="1143817054">
      <w:bodyDiv w:val="1"/>
      <w:marLeft w:val="0"/>
      <w:marRight w:val="0"/>
      <w:marTop w:val="0"/>
      <w:marBottom w:val="0"/>
      <w:divBdr>
        <w:top w:val="none" w:sz="0" w:space="0" w:color="auto"/>
        <w:left w:val="none" w:sz="0" w:space="0" w:color="auto"/>
        <w:bottom w:val="none" w:sz="0" w:space="0" w:color="auto"/>
        <w:right w:val="none" w:sz="0" w:space="0" w:color="auto"/>
      </w:divBdr>
    </w:div>
    <w:div w:id="1936546512">
      <w:bodyDiv w:val="1"/>
      <w:marLeft w:val="0"/>
      <w:marRight w:val="0"/>
      <w:marTop w:val="0"/>
      <w:marBottom w:val="0"/>
      <w:divBdr>
        <w:top w:val="none" w:sz="0" w:space="0" w:color="auto"/>
        <w:left w:val="none" w:sz="0" w:space="0" w:color="auto"/>
        <w:bottom w:val="none" w:sz="0" w:space="0" w:color="auto"/>
        <w:right w:val="none" w:sz="0" w:space="0" w:color="auto"/>
      </w:divBdr>
    </w:div>
    <w:div w:id="2064597385">
      <w:bodyDiv w:val="1"/>
      <w:marLeft w:val="0"/>
      <w:marRight w:val="0"/>
      <w:marTop w:val="0"/>
      <w:marBottom w:val="0"/>
      <w:divBdr>
        <w:top w:val="none" w:sz="0" w:space="0" w:color="auto"/>
        <w:left w:val="none" w:sz="0" w:space="0" w:color="auto"/>
        <w:bottom w:val="none" w:sz="0" w:space="0" w:color="auto"/>
        <w:right w:val="none" w:sz="0" w:space="0" w:color="auto"/>
      </w:divBdr>
    </w:div>
    <w:div w:id="2088532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bruxelles-city-news.be/manifestation-europeenne-pour-la-democratie-23-janvier-2022-bruxelles/" TargetMode="External"/><Relationship Id="rId5" Type="http://schemas.openxmlformats.org/officeDocument/2006/relationships/hyperlink" Target="https://www.rtl.be/info/regions/bruxelles/une-nouvelle-manifestation-contre-les-mesures-sanitaires-est-prevue-ce-dimanche-a-bruxelles-1352134.aspx" TargetMode="External"/><Relationship Id="rId6" Type="http://schemas.openxmlformats.org/officeDocument/2006/relationships/hyperlink" Target="https://www.rtbf.be/article/vaccin-hospitalisations-soins-intensifs-et-deces-que-disent-les-chiffres-en-belgique-1088644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1020</Words>
  <Characters>5613</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David</dc:creator>
  <cp:keywords/>
  <dc:description/>
  <cp:lastModifiedBy>Eric David</cp:lastModifiedBy>
  <cp:revision>5</cp:revision>
  <dcterms:created xsi:type="dcterms:W3CDTF">2022-01-27T17:37:00Z</dcterms:created>
  <dcterms:modified xsi:type="dcterms:W3CDTF">2022-01-28T17:35:00Z</dcterms:modified>
</cp:coreProperties>
</file>